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0" w:type="dxa"/>
        <w:jc w:val="center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2"/>
        <w:gridCol w:w="1559"/>
        <w:gridCol w:w="40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2" w:type="dxa"/>
            <w:vAlign w:val="center"/>
            <w:textDirection w:val="lrTb"/>
            <w:noWrap w:val="false"/>
          </w:tcPr>
          <w:p>
            <w:pPr>
              <w:pStyle w:val="105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промышленности и торговли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57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610" cy="732434"/>
                      <wp:effectExtent l="0" t="0" r="0" b="0"/>
                      <wp:docPr id="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610" cy="73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5pt;height:57.6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9" w:type="dxa"/>
            <w:vAlign w:val="center"/>
            <w:textDirection w:val="lrTb"/>
            <w:noWrap w:val="false"/>
          </w:tcPr>
          <w:p>
            <w:pPr>
              <w:pStyle w:val="105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7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105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вузкаронъя министерство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1057"/>
        <w:ind w:right="-57"/>
        <w:jc w:val="center"/>
        <w:spacing w:before="12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Красная, 144, Ижевск, 426008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57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Тел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.: (3412)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222-688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: </w:t>
      </w:r>
      <w:r>
        <w:rPr>
          <w:rFonts w:ascii="PT Astra Serif" w:hAnsi="PT Astra Serif" w:eastAsia="PT Astra Serif" w:cs="PT Astra Serif"/>
          <w:color w:val="000000"/>
          <w:lang w:val="en-US"/>
        </w:rPr>
        <w:t xml:space="preserve">mail@mpt.udmr.ru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lang w:val="en-US"/>
        </w:rPr>
        <w:t xml:space="preserve">http://www.mintorg.udmurt.ru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57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ОКПО 29993625 О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Г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РН 1151831000463 ИНН/КПП 1841048002/184101001</w:t>
      </w:r>
      <w:r>
        <w:rPr>
          <w:rFonts w:ascii="PT Astra Serif" w:hAnsi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1057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65405</wp:posOffset>
                </wp:positionV>
                <wp:extent cx="6356689" cy="0"/>
                <wp:effectExtent l="6300" t="6300" r="6300" b="630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356688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20.0pt,5.1pt" to="480.5pt,5.1pt" filled="f" strokecolor="#000000" strokeweight="0.99pt"/>
            </w:pict>
          </mc:Fallback>
        </mc:AlternateConten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05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 – РЕЛИЗ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108"/>
        <w:jc w:val="center"/>
        <w:spacing w:before="0" w:beforeAutospacing="0" w:after="0" w:afterAutospacing="0"/>
        <w:shd w:val="clear" w:color="auto" w:fill="ffffff"/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тоги 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работы п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ромышленных предприятий Удмуртии</w:t>
      </w:r>
      <w:r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08"/>
        <w:jc w:val="center"/>
        <w:spacing w:before="0" w:beforeAutospacing="0" w:after="0" w:afterAutospacing="0"/>
        <w:shd w:val="clear" w:color="auto" w:fill="ffffff"/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за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 январь-октябрь 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20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5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 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год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а</w:t>
      </w:r>
      <w:r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08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57"/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истерством промышленности и торговли Удмуртской Республики подведены итоги работы промышленных предприятий Удмуртской Республики 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январь-октябрь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7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 данным Удмуртстата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10 месяцев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года предприятиями респуб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лики отгружено товаров (работ, услуг) собственного производства на сумм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1, 16 трлн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рублей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темп роста к аналогичному периоду прошлого года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108,2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итогам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10 месяцев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индекс промышленно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производства (далее – 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в целом по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оставил 107,9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%, что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6,9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п.п. выше ИПП Российск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ой Федерацией (101 %)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Удмуртия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нимает 2 место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ПФО и вх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одит в ТОП-10 в Российской Федерации по ИПП.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7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Предприятиями отрасли «обрабатывающих производств» отгружено продукции на 812,9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руб.,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темп роста к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логичному периоду прошлого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124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индексу промышленного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Удмуртия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занимает 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-е место по отрасли «обрабатывающих производств» среди регионов ПФО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115,8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входит в ТОП-5 в Российской Федерации.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ИПП выше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общероссийского на 12,7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п.п.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(РФ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103,1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Доля отрасли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обрабатывающие про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 общем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объеме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оизводства состав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ила 70,1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7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ысокий индекс производства при росте объемов отгруженных товаров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демонстрируют следующие отрасли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автотранспортных средств, прицепов и полуприцепов </w:t>
        <w:br/>
        <w:t xml:space="preserve">– 102,8 %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готовых металлических изделий – 118,7 %;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компьютеров, электронных и оптических изделий – 178,9 %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прочих транспортных средств и оборудования – 111,7 %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производство резиновых и пластмассовых изделий – 121,5 %;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роизводство лекарственных средств и материалов, применяемых в медицинских целях – 103,7 %.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ыча полезных ископаемых в общем объеме производства составила 24,9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 отгруженных товаров отрасли составил 289,1 млрд рублей, темп рост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 к соответствующему периоду 2024 года – 78,8 %.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 промышленного производства (ИПП)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по добыче полезных ископаемых в Удмуртской Республике составил 96,1 %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  <w:t xml:space="preserve">Глава Удмуртской Республики Александр Владимирович Бречалов подчеркнул значимость мер поддержки инвесторов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Во время Прямой линии были озвучены ключевые меры, направленные на поддержку предприятий и реализацию перспективных инвестиционных проектов. Особое внимание было уделено субсидии на возмещение части затрат на оплату услуг ресурсоснабжающих организаций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по подключению к коммунальной инфраструктуре.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Помимо этой меры поддержки Минпромторг УР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ежегодно предоставляет: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убсидии на возмещение части затрат на проведение НИОКР;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субсидии на возмещение части затрат, связанных с приобретением нового оборудования;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убсидии на возмещение части затрат на уплату первого платежа (аванса) при заключении договора (договоров) лизинга оборудования с российскими лизинговыми организациями.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Для предприятий легкой промышленности предусмотрена субсидия на компенсацию части затрат на участие в выставках.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Субсидии организациям, созданным общественными объедениями инвалидов - на возмещение части затрат на закупку основных средств и на компенсацию затрат на оплату коммунальных услуг и услуг связи.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Также на Прямой линии подняли вопрос закрытия «наливаек». В этой части Глава Удмуртской Республики отметил работу Минпромторга УР.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Министерством на постоянной основе проводится большая планомерная работа по выявлению и пресечению нарушений в области продажи алкогольной продукции.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/>
    </w:p>
    <w:p>
      <w:pPr>
        <w:ind w:firstLine="0"/>
        <w:jc w:val="both"/>
        <w:rPr>
          <w:rFonts w:ascii="PT Astra Serif" w:hAnsi="PT Astra Serif" w:eastAsia="PT Astra Serif" w:cs="PT Astra Serif"/>
          <w:b/>
          <w:bCs w:val="0"/>
          <w:i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i w:val="0"/>
          <w:iCs w:val="0"/>
          <w:sz w:val="28"/>
          <w:szCs w:val="28"/>
          <w:highlight w:val="none"/>
          <w14:ligatures w14:val="none"/>
        </w:rPr>
        <w:t xml:space="preserve">На Госсовете УР Глава Удмуртской Республики Александр Бречалов поделился планами на следующий год</w:t>
      </w:r>
      <w:r>
        <w:rPr>
          <w:rFonts w:ascii="PT Astra Serif" w:hAnsi="PT Astra Serif" w:eastAsia="PT Astra Serif" w:cs="PT Astra Serif"/>
          <w:b/>
          <w:bCs/>
          <w:i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 w:val="0"/>
          <w:i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/>
          <w:bCs/>
          <w:i w:val="0"/>
          <w:i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Н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ациональный проект «Беспилотные авиационные системы» продолжит реализовываться на территории Удмуртии. В 2026 году на создание Научно-производственного центра беспилотных авиационных систем Удмуртской Республики будет выделено порядка 1 млрд рублей. Центр будет сфо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рмирован на базе ИжГТУ им. М.Т. Калашникова, что станет мощным импульсом для развития отрасли. Благодаря созданию центра к 2030 году ожидаются следующие результаты:</w:t>
      </w:r>
      <w:r>
        <w:rPr>
          <w:rFonts w:ascii="PT Astra Serif" w:hAnsi="PT Astra Serif" w:eastAsia="PT Astra Serif" w:cs="PT Astra Serif"/>
          <w:b/>
          <w:bCs/>
          <w:i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поступление налогов в бюджет республики – свыше 8 млрд рублей;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/>
    </w:p>
    <w:p>
      <w:pPr>
        <w:ind w:firstLine="0"/>
        <w:jc w:val="both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создание 257 новых рабочих мест.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/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Удмуртия укрепит свои позиции как флагман производства беспилотных авиационных систем, получит новые образовательные направления, а профильные классы с уклоном на БАС станут доступнее школьникам региона.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  <w:t xml:space="preserve">«Калашников» запускает новый участок в дивизионе производства спецтехники, оснащенный уникальным отечественным оборудованием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О «Концерн «Калашников» запустило в опытно-промышленную эксплуатацию дополнительную производственную площадку для исполнения ежегодно растущих объемов государственных заказов. Новый участок вакуумных печей для производства востребованных высокоточных издел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ий проходит пуско-наладочные работы и в скором времени выйдет на заявленный объем производства.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ажно отметить, что оборудование вакуумной термической термообработки изготовлено по спецзаказу концерна и является единственным в России современным оборудованием подобного исполнения. Рост численности персонала дивизиона производства спецтехники составил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более 300 человек, все новые специалисты прошли обучение в заводской школе производственного обучения.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  <w:t xml:space="preserve">Спецтехника ижевского завода успешно прошла испытания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Группа компаний «Римера» объявила об успешном завершении опытно-промышленных испытаний трёх моделей подземной горной техники на фосфатном месторождении «Олений ручей» в Мурманской области и медном руднике «Юбилейный» в Республике Башкортостан.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Три новые модели подземной горной техники «Римера»: торкрет-установка МВ-СТМ, бетоновоз МВ-СБ4 и многофункциональная машина с ножничным подъёмником МВ-СН 4/4,5 были разработаны и изготовлены на ижевском заводе ГК «Римера» совместно с заводом «Ижнефтемаш»,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имеющим значительный опыт производства специализированной техники для нефтегазовой отрасли.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Предварительно вся техника прошла проверку на собственном полигоне компании, имитирующем дорожный рельеф горных рудников. 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акже были настроены алгоритмы управляющих программ, отвечающие за безопасную эксплуатацию оборудования, организована сервисная группа, создан склад запасных частей и расходных материалов, необходимых для обслуживания техники в течение испытательного срока.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Это позволило проводить испытания в круглосуточном двухсменном режиме. Коэффициент готовности составил от 86% до 91%, двигатель отработал от 950 до 2500 часов.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В ближайшее время предприятие направит еще один образец техники на испытания — анкероустановщик МБ-АС2.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  <w:t xml:space="preserve">Поездки на Вашем транспортном средстве теперь станут экологичными и экономичными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В Удмуртской Республике продолжается программа государственной поддержки, направленная на снижение затрат на переоборудование транспортных средств для использования природного газа (метана) в качестве моторного топли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ва.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Благодаря этой государственной инициативе у вас есть возможность значительно сократить расходы на переоборудование вашего автомобиля на метан, получив скидку до 60 %, включая стоимость газобаллонного оборудования.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 2025 года доступна дополнительная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государственная поддержка для участников специальной военной операции (СВО)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, которая предусматривает скидку на переоборудование до 100 %. Для этого необходимо лишь п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редъявить соответствующие документы.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Для оформления государственной поддержки автовладельцам не потребуется собирать какие-либо документы. Достаточно обратиться в специализированный сервисный центр, занимающийся переоборудованием автомобилей на метан. Там вы сможете получить подробные консул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ьтации и расчет стоимости переоборудования вашего транспортного средства.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 полным списком сервисных центров, осуществляющих переоборудование, можно ознакомиться на сайте Минпромторга УР.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Важно отметить, что, переоборудовав автомобиль на метан, можно вдвое сократить расходы на топливо, продлить срок службы двигателя и внести свой вклад в уменьшение загрязнения окружающей среды.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  <w:t xml:space="preserve">17 декабря 2025 года состоялось торжественное закрытие пилотного проекта на предприятии «Приволжская Химия», участнике федерального проекта «Производительность труда»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Федеральный проект «Производительность труда» входит в состав национального проекта «Эффе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ктивная и  конкурентная экономика» и реализуется по решению Президента России Владимира Путина.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Цель проекта заключалась в оптимизации производственного процесса изготовления высокоэффективных дезинфицирующих средств для пищевой промышленности. В результате проведенных мероприятий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достигнуты выдающиеся результаты: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окращение среднего времени протекания процесса изготовления партий продукта на 34% — с 3 часов 52 минут до 2 часов 34 минут;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низились запасы потока на 28%;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у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величение выработки каждого сотрудника на 39% — с 23 до 32 канистр в час.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Э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ти достижения станут основой для дальнейшей трансформации производственной системы «Приволжской Химии». Основной задачей на ближайшие годы станет масштабирование полученных результатов на остальные производственные потоки и дальнейшее совершенствование орг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анизационных подходов к управлению предприятием.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Удмуртия традиционно принимает участие во Всероссийском конкурсе «Кибердром»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</w:p>
    <w:p>
      <w:pPr>
        <w:ind w:firstLine="709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этом году в рамках конкурса были сформированы две команды по треку «Кибердром.Профессионал», состоящие из школьников, студентов и молодых специалистов на базе ГК «Беспилотные системы», а также одна команда по треку «Кибердром.Студент», представляющая реги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ональный университет.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09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а данный момент участники команд прошли дистанционное обучение, успешно сдали тестирование и выполнили практические задания. По итогам выполнения всех заданий ребята получат свидетельства государственного образца о профессии рабочего, а именно должности «о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ператор беспилотных авиационных систем (с максимальной взлетной массой 30 килограммов и менее)».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09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Впереди участников ждут следующие этапы: 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09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«Зарница»; 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09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«Авиационная работа»; 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«Гранд-финал».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День поставщика – новые возможности для бизнеса и региона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13 ноября 2025 года прошел традиционный «День поставщика» для диалога между местными производителями и федеральным ритейлом «Светофор». Это мероприятие, организованное Министерством промышленности и торговли, уже второй раз в этом году объединяет бизнес, власть и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торговые сети для развития локальной экономики.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Для производителей «День поставщика» – это шанс выйти на новые рынки и создать рабочие места.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Для ритейла – возможность предложить покупателям свежие местные товары.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Для региона – рост экономики и поддержка малого и среднего бизнеса.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Участники мероприятия обсудили, как увеличить присутствие региональной продукции на полках магази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нов «Светофор» и сделать качественные товары еще доступнее. Уделено внимание важным вопросам, включая маркировку товара в системе «Честный знак», сроки реализации продукции и преимущества сотрудничества с федеральными торговыми сетями. Участники также за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дали дополнительные вопросы и обсудили перспективные проекты.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Госзакупки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Для участия в госзакупках участникам часто требуется предоставить гарантии: обеспечения заявки и исполнения контракта.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Это важный инструмент, который защищает заказчика и подтверждает надежность поставщика.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Право на выдачу гарантий имеют только аккредитованные организации: 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Банки из перечня Минфина;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ВЭБ.РФ;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Гарантийные фонды МСП;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Евразийский банк развития (для иностранных участников ЕАЭС).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Независимая гарантия должна соответствовать: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Требованиям статьи 45 Закона №44-ФЗ;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Форме, утвержденной Постановлением Правительства № 1005.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 актуальным перечнем региональных гарантийных организаций можно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ознакомиться на сайте Минфина РФ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hyperlink r:id="rId12" w:tooltip="https://minfin.gov.ru/ru/document?id_4=135331-regionalnye_garantiinye_organizatsii_udovletvoryayushchie_trebovaniyam_ustanovlennym_punktom_3_chasti_1_stati_45_federalnogo_zakona_ot_05.04.2013__44-fz_s_uchetom_dannykh_minekonomrazvitiya_rossii_predstavlennykh_10.10.2025" w:history="1">
        <w:r>
          <w:rPr>
            <w:rStyle w:val="1076"/>
            <w:rFonts w:ascii="PT Astra Serif" w:hAnsi="PT Astra Serif" w:eastAsia="PT Astra Serif" w:cs="PT Astra Serif"/>
            <w:sz w:val="28"/>
            <w:szCs w:val="28"/>
            <w:highlight w:val="none"/>
            <w:lang w:eastAsia="ru-RU"/>
            <w14:ligatures w14:val="none"/>
          </w:rPr>
          <w:t xml:space="preserve">https://minfin.gov.ru.</w:t>
        </w:r>
        <w:r>
          <w:rPr>
            <w:rStyle w:val="1076"/>
            <w:rFonts w:ascii="PT Astra Serif" w:hAnsi="PT Astra Serif" w:eastAsia="PT Astra Serif" w:cs="PT Astra Serif"/>
            <w:sz w:val="28"/>
            <w:szCs w:val="28"/>
            <w:highlight w:val="none"/>
            <w:lang w:eastAsia="ru-RU"/>
            <w14:ligatures w14:val="none"/>
          </w:rPr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/>
    </w:p>
    <w:p>
      <w:pPr>
        <w:ind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Новое в маркировке пива и слабоалкогольных напитков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b/>
          <w:bCs/>
        </w:rPr>
      </w:r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В соответствии с изменениями в Постановление Правительства Российской Федерации № 2173 от 30.11.2022 с 1 декабря 2025 года в России вступают в силу окончательные правила системы маркировки для пива и слабоалкогольных напитков в потребительской упаковке: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/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Индивидуальный учёт каждой единицы. Каждая единица продукции (бутылка, банка) должна учитываться в обороте индивидуально по коду маркировки.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Обязательный электронный документооборот. Бумажные накладные для сопровождения маркированного пива станут недействительными. Все операции должны отражаться в системе через универсальный передаточный документ.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Предварительная проверка документов. Отгрузка пива станет возможна только с разрешения «Честного знака» после проверки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универсального передаточного документа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sectPr>
      <w:footerReference w:type="even" r:id="rId9"/>
      <w:footerReference w:type="first" r:id="rId10"/>
      <w:footnotePr>
        <w:pos w:val="beneathText"/>
      </w:footnotePr>
      <w:endnotePr/>
      <w:type w:val="nextPage"/>
      <w:pgSz w:w="11905" w:h="16837" w:orient="portrait"/>
      <w:pgMar w:top="567" w:right="709" w:bottom="851" w:left="1701" w:header="425" w:footer="15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Lucida Sans Unicode">
    <w:panose1 w:val="020B0603030804020204"/>
  </w:font>
  <w:font w:name="Tahoma">
    <w:panose1 w:val="020B060603050402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4"/>
      <w:rPr>
        <w:rStyle w:val="1102"/>
      </w:rPr>
      <w:framePr w:wrap="around" w:vAnchor="text" w:hAnchor="margin" w:xAlign="right" w:y="1"/>
    </w:pPr>
    <w:r>
      <w:rPr>
        <w:rStyle w:val="1102"/>
      </w:rPr>
      <w:fldChar w:fldCharType="begin"/>
    </w:r>
    <w:r>
      <w:rPr>
        <w:rStyle w:val="1102"/>
      </w:rPr>
      <w:instrText xml:space="preserve">PAGE  </w:instrText>
    </w:r>
    <w:r>
      <w:rPr>
        <w:rStyle w:val="1102"/>
      </w:rPr>
      <w:fldChar w:fldCharType="separate"/>
    </w:r>
    <w:r>
      <w:rPr>
        <w:rStyle w:val="1102"/>
      </w:rPr>
      <w:t xml:space="preserve">5</w:t>
    </w:r>
    <w:r>
      <w:rPr>
        <w:rStyle w:val="1102"/>
      </w:rPr>
      <w:fldChar w:fldCharType="end"/>
    </w:r>
    <w:r>
      <w:rPr>
        <w:rStyle w:val="1102"/>
      </w:rPr>
    </w:r>
    <w:r>
      <w:rPr>
        <w:rStyle w:val="1102"/>
      </w:rPr>
    </w:r>
  </w:p>
  <w:p>
    <w:pPr>
      <w:pStyle w:val="109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Ю.О. Емельянов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  <w:p>
    <w:pPr>
      <w:pStyle w:val="1057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т. (3412)-495-300, ф. 495-639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2"/>
  </w:num>
  <w:num w:numId="5">
    <w:abstractNumId w:val="4"/>
  </w:num>
  <w:num w:numId="6">
    <w:abstractNumId w:val="22"/>
  </w:num>
  <w:num w:numId="7">
    <w:abstractNumId w:val="24"/>
  </w:num>
  <w:num w:numId="8">
    <w:abstractNumId w:val="9"/>
  </w:num>
  <w:num w:numId="9">
    <w:abstractNumId w:val="29"/>
  </w:num>
  <w:num w:numId="10">
    <w:abstractNumId w:val="0"/>
  </w:num>
  <w:num w:numId="11">
    <w:abstractNumId w:val="28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15"/>
  </w:num>
  <w:num w:numId="17">
    <w:abstractNumId w:val="3"/>
  </w:num>
  <w:num w:numId="18">
    <w:abstractNumId w:val="11"/>
  </w:num>
  <w:num w:numId="19">
    <w:abstractNumId w:val="16"/>
  </w:num>
  <w:num w:numId="20">
    <w:abstractNumId w:val="33"/>
  </w:num>
  <w:num w:numId="21">
    <w:abstractNumId w:val="25"/>
  </w:num>
  <w:num w:numId="22">
    <w:abstractNumId w:val="30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4"/>
  </w:num>
  <w:num w:numId="28">
    <w:abstractNumId w:val="2"/>
  </w:num>
  <w:num w:numId="29">
    <w:abstractNumId w:val="7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23"/>
  </w:num>
  <w:num w:numId="35">
    <w:abstractNumId w:val="34"/>
  </w:num>
  <w:num w:numId="36">
    <w:abstractNumId w:val="27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2">
    <w:name w:val="Heading 1"/>
    <w:basedOn w:val="1057"/>
    <w:next w:val="1057"/>
    <w:link w:val="8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83">
    <w:name w:val="Heading 1 Char"/>
    <w:link w:val="882"/>
    <w:uiPriority w:val="9"/>
    <w:rPr>
      <w:rFonts w:ascii="Arial" w:hAnsi="Arial" w:eastAsia="Arial" w:cs="Arial"/>
      <w:sz w:val="40"/>
      <w:szCs w:val="40"/>
    </w:rPr>
  </w:style>
  <w:style w:type="paragraph" w:styleId="884">
    <w:name w:val="Heading 2"/>
    <w:basedOn w:val="1057"/>
    <w:next w:val="1057"/>
    <w:link w:val="8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85">
    <w:name w:val="Heading 2 Char"/>
    <w:link w:val="884"/>
    <w:uiPriority w:val="9"/>
    <w:rPr>
      <w:rFonts w:ascii="Arial" w:hAnsi="Arial" w:eastAsia="Arial" w:cs="Arial"/>
      <w:sz w:val="34"/>
    </w:rPr>
  </w:style>
  <w:style w:type="paragraph" w:styleId="886">
    <w:name w:val="Heading 3"/>
    <w:basedOn w:val="1057"/>
    <w:next w:val="1057"/>
    <w:link w:val="8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87">
    <w:name w:val="Heading 3 Char"/>
    <w:link w:val="886"/>
    <w:uiPriority w:val="9"/>
    <w:rPr>
      <w:rFonts w:ascii="Arial" w:hAnsi="Arial" w:eastAsia="Arial" w:cs="Arial"/>
      <w:sz w:val="30"/>
      <w:szCs w:val="30"/>
    </w:rPr>
  </w:style>
  <w:style w:type="paragraph" w:styleId="888">
    <w:name w:val="Heading 4"/>
    <w:basedOn w:val="1057"/>
    <w:next w:val="1057"/>
    <w:link w:val="8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9">
    <w:name w:val="Heading 4 Char"/>
    <w:link w:val="888"/>
    <w:uiPriority w:val="9"/>
    <w:rPr>
      <w:rFonts w:ascii="Arial" w:hAnsi="Arial" w:eastAsia="Arial" w:cs="Arial"/>
      <w:b/>
      <w:bCs/>
      <w:sz w:val="26"/>
      <w:szCs w:val="26"/>
    </w:rPr>
  </w:style>
  <w:style w:type="paragraph" w:styleId="890">
    <w:name w:val="Heading 5"/>
    <w:basedOn w:val="1057"/>
    <w:next w:val="1057"/>
    <w:link w:val="8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1">
    <w:name w:val="Heading 5 Char"/>
    <w:link w:val="890"/>
    <w:uiPriority w:val="9"/>
    <w:rPr>
      <w:rFonts w:ascii="Arial" w:hAnsi="Arial" w:eastAsia="Arial" w:cs="Arial"/>
      <w:b/>
      <w:bCs/>
      <w:sz w:val="24"/>
      <w:szCs w:val="24"/>
    </w:rPr>
  </w:style>
  <w:style w:type="paragraph" w:styleId="892">
    <w:name w:val="Heading 6"/>
    <w:basedOn w:val="1057"/>
    <w:next w:val="1057"/>
    <w:link w:val="8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3">
    <w:name w:val="Heading 6 Char"/>
    <w:link w:val="892"/>
    <w:uiPriority w:val="9"/>
    <w:rPr>
      <w:rFonts w:ascii="Arial" w:hAnsi="Arial" w:eastAsia="Arial" w:cs="Arial"/>
      <w:b/>
      <w:bCs/>
      <w:sz w:val="22"/>
      <w:szCs w:val="22"/>
    </w:rPr>
  </w:style>
  <w:style w:type="paragraph" w:styleId="894">
    <w:name w:val="Heading 7"/>
    <w:basedOn w:val="1057"/>
    <w:next w:val="1057"/>
    <w:link w:val="8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5">
    <w:name w:val="Heading 7 Char"/>
    <w:link w:val="8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6">
    <w:name w:val="Heading 8"/>
    <w:basedOn w:val="1057"/>
    <w:next w:val="1057"/>
    <w:link w:val="8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7">
    <w:name w:val="Heading 8 Char"/>
    <w:link w:val="896"/>
    <w:uiPriority w:val="9"/>
    <w:rPr>
      <w:rFonts w:ascii="Arial" w:hAnsi="Arial" w:eastAsia="Arial" w:cs="Arial"/>
      <w:i/>
      <w:iCs/>
      <w:sz w:val="22"/>
      <w:szCs w:val="22"/>
    </w:rPr>
  </w:style>
  <w:style w:type="paragraph" w:styleId="898">
    <w:name w:val="Heading 9"/>
    <w:basedOn w:val="1057"/>
    <w:next w:val="1057"/>
    <w:link w:val="8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9">
    <w:name w:val="Heading 9 Char"/>
    <w:link w:val="898"/>
    <w:uiPriority w:val="9"/>
    <w:rPr>
      <w:rFonts w:ascii="Arial" w:hAnsi="Arial" w:eastAsia="Arial" w:cs="Arial"/>
      <w:i/>
      <w:iCs/>
      <w:sz w:val="21"/>
      <w:szCs w:val="21"/>
    </w:rPr>
  </w:style>
  <w:style w:type="paragraph" w:styleId="900">
    <w:name w:val="List Paragraph"/>
    <w:basedOn w:val="1057"/>
    <w:uiPriority w:val="34"/>
    <w:qFormat/>
    <w:pPr>
      <w:contextualSpacing/>
      <w:ind w:left="720"/>
    </w:pPr>
  </w:style>
  <w:style w:type="paragraph" w:styleId="901">
    <w:name w:val="No Spacing"/>
    <w:uiPriority w:val="1"/>
    <w:qFormat/>
    <w:pPr>
      <w:spacing w:before="0" w:after="0" w:line="240" w:lineRule="auto"/>
    </w:pPr>
  </w:style>
  <w:style w:type="character" w:styleId="902">
    <w:name w:val="Title Char"/>
    <w:link w:val="1131"/>
    <w:uiPriority w:val="10"/>
    <w:rPr>
      <w:sz w:val="48"/>
      <w:szCs w:val="48"/>
    </w:rPr>
  </w:style>
  <w:style w:type="paragraph" w:styleId="903">
    <w:name w:val="Subtitle"/>
    <w:basedOn w:val="1057"/>
    <w:next w:val="1057"/>
    <w:link w:val="904"/>
    <w:uiPriority w:val="11"/>
    <w:qFormat/>
    <w:pPr>
      <w:spacing w:before="200" w:after="200"/>
    </w:pPr>
    <w:rPr>
      <w:sz w:val="24"/>
      <w:szCs w:val="24"/>
    </w:rPr>
  </w:style>
  <w:style w:type="character" w:styleId="904">
    <w:name w:val="Subtitle Char"/>
    <w:link w:val="903"/>
    <w:uiPriority w:val="11"/>
    <w:rPr>
      <w:sz w:val="24"/>
      <w:szCs w:val="24"/>
    </w:rPr>
  </w:style>
  <w:style w:type="paragraph" w:styleId="905">
    <w:name w:val="Quote"/>
    <w:basedOn w:val="1057"/>
    <w:next w:val="1057"/>
    <w:link w:val="906"/>
    <w:uiPriority w:val="29"/>
    <w:qFormat/>
    <w:pPr>
      <w:ind w:left="720" w:right="720"/>
    </w:pPr>
    <w:rPr>
      <w:i/>
    </w:rPr>
  </w:style>
  <w:style w:type="character" w:styleId="906">
    <w:name w:val="Quote Char"/>
    <w:link w:val="905"/>
    <w:uiPriority w:val="29"/>
    <w:rPr>
      <w:i/>
    </w:rPr>
  </w:style>
  <w:style w:type="paragraph" w:styleId="907">
    <w:name w:val="Intense Quote"/>
    <w:basedOn w:val="1057"/>
    <w:next w:val="1057"/>
    <w:link w:val="9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8">
    <w:name w:val="Intense Quote Char"/>
    <w:link w:val="907"/>
    <w:uiPriority w:val="30"/>
    <w:rPr>
      <w:i/>
    </w:rPr>
  </w:style>
  <w:style w:type="character" w:styleId="909">
    <w:name w:val="Header Char"/>
    <w:link w:val="1130"/>
    <w:uiPriority w:val="99"/>
  </w:style>
  <w:style w:type="paragraph" w:styleId="910">
    <w:name w:val="Footer"/>
    <w:basedOn w:val="1057"/>
    <w:link w:val="9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1">
    <w:name w:val="Footer Char"/>
    <w:link w:val="910"/>
    <w:uiPriority w:val="99"/>
  </w:style>
  <w:style w:type="character" w:styleId="912">
    <w:name w:val="Caption Char"/>
    <w:basedOn w:val="1135"/>
    <w:link w:val="910"/>
    <w:uiPriority w:val="99"/>
  </w:style>
  <w:style w:type="table" w:styleId="9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39">
    <w:name w:val="Hyperlink"/>
    <w:uiPriority w:val="99"/>
    <w:unhideWhenUsed/>
    <w:rPr>
      <w:color w:val="0000ff" w:themeColor="hyperlink"/>
      <w:u w:val="single"/>
    </w:rPr>
  </w:style>
  <w:style w:type="paragraph" w:styleId="1040">
    <w:name w:val="footnote text"/>
    <w:basedOn w:val="1057"/>
    <w:link w:val="1041"/>
    <w:uiPriority w:val="99"/>
    <w:semiHidden/>
    <w:unhideWhenUsed/>
    <w:pPr>
      <w:spacing w:after="40" w:line="240" w:lineRule="auto"/>
    </w:pPr>
    <w:rPr>
      <w:sz w:val="18"/>
    </w:rPr>
  </w:style>
  <w:style w:type="character" w:styleId="1041">
    <w:name w:val="Footnote Text Char"/>
    <w:link w:val="1040"/>
    <w:uiPriority w:val="99"/>
    <w:rPr>
      <w:sz w:val="18"/>
    </w:rPr>
  </w:style>
  <w:style w:type="character" w:styleId="1042">
    <w:name w:val="footnote reference"/>
    <w:uiPriority w:val="99"/>
    <w:unhideWhenUsed/>
    <w:rPr>
      <w:vertAlign w:val="superscript"/>
    </w:rPr>
  </w:style>
  <w:style w:type="paragraph" w:styleId="1043">
    <w:name w:val="endnote text"/>
    <w:basedOn w:val="1057"/>
    <w:link w:val="1044"/>
    <w:uiPriority w:val="99"/>
    <w:semiHidden/>
    <w:unhideWhenUsed/>
    <w:pPr>
      <w:spacing w:after="0" w:line="240" w:lineRule="auto"/>
    </w:pPr>
    <w:rPr>
      <w:sz w:val="20"/>
    </w:rPr>
  </w:style>
  <w:style w:type="character" w:styleId="1044">
    <w:name w:val="Endnote Text Char"/>
    <w:link w:val="1043"/>
    <w:uiPriority w:val="99"/>
    <w:rPr>
      <w:sz w:val="20"/>
    </w:rPr>
  </w:style>
  <w:style w:type="character" w:styleId="1045">
    <w:name w:val="endnote reference"/>
    <w:uiPriority w:val="99"/>
    <w:semiHidden/>
    <w:unhideWhenUsed/>
    <w:rPr>
      <w:vertAlign w:val="superscript"/>
    </w:rPr>
  </w:style>
  <w:style w:type="paragraph" w:styleId="1046">
    <w:name w:val="toc 1"/>
    <w:basedOn w:val="1057"/>
    <w:next w:val="1057"/>
    <w:uiPriority w:val="39"/>
    <w:unhideWhenUsed/>
    <w:pPr>
      <w:ind w:left="0" w:right="0" w:firstLine="0"/>
      <w:spacing w:after="57"/>
    </w:pPr>
  </w:style>
  <w:style w:type="paragraph" w:styleId="1047">
    <w:name w:val="toc 2"/>
    <w:basedOn w:val="1057"/>
    <w:next w:val="1057"/>
    <w:uiPriority w:val="39"/>
    <w:unhideWhenUsed/>
    <w:pPr>
      <w:ind w:left="283" w:right="0" w:firstLine="0"/>
      <w:spacing w:after="57"/>
    </w:pPr>
  </w:style>
  <w:style w:type="paragraph" w:styleId="1048">
    <w:name w:val="toc 3"/>
    <w:basedOn w:val="1057"/>
    <w:next w:val="1057"/>
    <w:uiPriority w:val="39"/>
    <w:unhideWhenUsed/>
    <w:pPr>
      <w:ind w:left="567" w:right="0" w:firstLine="0"/>
      <w:spacing w:after="57"/>
    </w:pPr>
  </w:style>
  <w:style w:type="paragraph" w:styleId="1049">
    <w:name w:val="toc 4"/>
    <w:basedOn w:val="1057"/>
    <w:next w:val="1057"/>
    <w:uiPriority w:val="39"/>
    <w:unhideWhenUsed/>
    <w:pPr>
      <w:ind w:left="850" w:right="0" w:firstLine="0"/>
      <w:spacing w:after="57"/>
    </w:pPr>
  </w:style>
  <w:style w:type="paragraph" w:styleId="1050">
    <w:name w:val="toc 5"/>
    <w:basedOn w:val="1057"/>
    <w:next w:val="1057"/>
    <w:uiPriority w:val="39"/>
    <w:unhideWhenUsed/>
    <w:pPr>
      <w:ind w:left="1134" w:right="0" w:firstLine="0"/>
      <w:spacing w:after="57"/>
    </w:pPr>
  </w:style>
  <w:style w:type="paragraph" w:styleId="1051">
    <w:name w:val="toc 6"/>
    <w:basedOn w:val="1057"/>
    <w:next w:val="1057"/>
    <w:uiPriority w:val="39"/>
    <w:unhideWhenUsed/>
    <w:pPr>
      <w:ind w:left="1417" w:right="0" w:firstLine="0"/>
      <w:spacing w:after="57"/>
    </w:pPr>
  </w:style>
  <w:style w:type="paragraph" w:styleId="1052">
    <w:name w:val="toc 7"/>
    <w:basedOn w:val="1057"/>
    <w:next w:val="1057"/>
    <w:uiPriority w:val="39"/>
    <w:unhideWhenUsed/>
    <w:pPr>
      <w:ind w:left="1701" w:right="0" w:firstLine="0"/>
      <w:spacing w:after="57"/>
    </w:pPr>
  </w:style>
  <w:style w:type="paragraph" w:styleId="1053">
    <w:name w:val="toc 8"/>
    <w:basedOn w:val="1057"/>
    <w:next w:val="1057"/>
    <w:uiPriority w:val="39"/>
    <w:unhideWhenUsed/>
    <w:pPr>
      <w:ind w:left="1984" w:right="0" w:firstLine="0"/>
      <w:spacing w:after="57"/>
    </w:pPr>
  </w:style>
  <w:style w:type="paragraph" w:styleId="1054">
    <w:name w:val="toc 9"/>
    <w:basedOn w:val="1057"/>
    <w:next w:val="1057"/>
    <w:uiPriority w:val="39"/>
    <w:unhideWhenUsed/>
    <w:pPr>
      <w:ind w:left="2268" w:right="0" w:firstLine="0"/>
      <w:spacing w:after="57"/>
    </w:pPr>
  </w:style>
  <w:style w:type="paragraph" w:styleId="1055">
    <w:name w:val="TOC Heading"/>
    <w:uiPriority w:val="39"/>
    <w:unhideWhenUsed/>
  </w:style>
  <w:style w:type="paragraph" w:styleId="1056">
    <w:name w:val="table of figures"/>
    <w:basedOn w:val="1057"/>
    <w:next w:val="1057"/>
    <w:uiPriority w:val="99"/>
    <w:unhideWhenUsed/>
    <w:pPr>
      <w:spacing w:after="0" w:afterAutospacing="0"/>
    </w:pPr>
  </w:style>
  <w:style w:type="paragraph" w:styleId="1057" w:default="1">
    <w:name w:val="Normal"/>
    <w:next w:val="1057"/>
    <w:link w:val="1057"/>
    <w:qFormat/>
    <w:rPr>
      <w:lang w:val="ru-RU" w:eastAsia="ar-SA" w:bidi="ar-SA"/>
    </w:rPr>
  </w:style>
  <w:style w:type="paragraph" w:styleId="1058">
    <w:name w:val="Заголовок 1"/>
    <w:basedOn w:val="1057"/>
    <w:next w:val="1057"/>
    <w:link w:val="1125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59">
    <w:name w:val="Заголовок 2"/>
    <w:basedOn w:val="1057"/>
    <w:next w:val="1059"/>
    <w:link w:val="1123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1060">
    <w:name w:val="Заголовок 3"/>
    <w:basedOn w:val="1057"/>
    <w:next w:val="1057"/>
    <w:link w:val="1128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61">
    <w:name w:val="Заголовок 4"/>
    <w:basedOn w:val="1057"/>
    <w:next w:val="1057"/>
    <w:link w:val="1127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62">
    <w:name w:val="Основной шрифт абзаца"/>
    <w:next w:val="1062"/>
    <w:link w:val="1057"/>
    <w:semiHidden/>
  </w:style>
  <w:style w:type="table" w:styleId="1063">
    <w:name w:val="Обычная таблица"/>
    <w:next w:val="1063"/>
    <w:link w:val="1057"/>
    <w:uiPriority w:val="99"/>
    <w:semiHidden/>
    <w:unhideWhenUsed/>
    <w:tblPr/>
  </w:style>
  <w:style w:type="numbering" w:styleId="1064">
    <w:name w:val="Нет списка"/>
    <w:next w:val="1064"/>
    <w:link w:val="1057"/>
    <w:uiPriority w:val="99"/>
    <w:semiHidden/>
    <w:unhideWhenUsed/>
  </w:style>
  <w:style w:type="character" w:styleId="1065">
    <w:name w:val="Основной шрифт абзаца6"/>
    <w:next w:val="1065"/>
    <w:link w:val="1057"/>
  </w:style>
  <w:style w:type="character" w:styleId="1066">
    <w:name w:val="Основной шрифт абзаца5"/>
    <w:next w:val="1066"/>
    <w:link w:val="1057"/>
  </w:style>
  <w:style w:type="character" w:styleId="1067">
    <w:name w:val="Основной шрифт абзаца4"/>
    <w:next w:val="1067"/>
    <w:link w:val="1057"/>
  </w:style>
  <w:style w:type="character" w:styleId="1068">
    <w:name w:val="Absatz-Standardschriftart"/>
    <w:next w:val="1068"/>
    <w:link w:val="1057"/>
  </w:style>
  <w:style w:type="character" w:styleId="1069">
    <w:name w:val="WW-Absatz-Standardschriftart"/>
    <w:next w:val="1069"/>
    <w:link w:val="1057"/>
  </w:style>
  <w:style w:type="character" w:styleId="1070">
    <w:name w:val="Основной шрифт абзаца3"/>
    <w:next w:val="1070"/>
    <w:link w:val="1057"/>
  </w:style>
  <w:style w:type="character" w:styleId="1071">
    <w:name w:val="WW-Absatz-Standardschriftart1"/>
    <w:next w:val="1071"/>
    <w:link w:val="1057"/>
  </w:style>
  <w:style w:type="character" w:styleId="1072">
    <w:name w:val="Основной шрифт абзаца2"/>
    <w:next w:val="1072"/>
    <w:link w:val="1057"/>
  </w:style>
  <w:style w:type="character" w:styleId="1073">
    <w:name w:val="WW-Absatz-Standardschriftart11"/>
    <w:next w:val="1073"/>
    <w:link w:val="1057"/>
  </w:style>
  <w:style w:type="character" w:styleId="1074">
    <w:name w:val="Основной шрифт абзаца1"/>
    <w:next w:val="1074"/>
    <w:link w:val="1057"/>
  </w:style>
  <w:style w:type="character" w:styleId="1075">
    <w:name w:val="Îñíîâíîé øðèôò"/>
    <w:next w:val="1075"/>
    <w:link w:val="1057"/>
  </w:style>
  <w:style w:type="character" w:styleId="1076">
    <w:name w:val="Гиперссылка"/>
    <w:next w:val="1076"/>
    <w:link w:val="1057"/>
    <w:uiPriority w:val="99"/>
    <w:semiHidden/>
    <w:rPr>
      <w:color w:val="0000ff"/>
      <w:u w:val="single"/>
    </w:rPr>
  </w:style>
  <w:style w:type="character" w:styleId="1077">
    <w:name w:val="Просмотренная гиперссылка"/>
    <w:next w:val="1077"/>
    <w:link w:val="1057"/>
    <w:semiHidden/>
    <w:rPr>
      <w:color w:val="800080"/>
      <w:u w:val="single"/>
    </w:rPr>
  </w:style>
  <w:style w:type="paragraph" w:styleId="1078">
    <w:name w:val="Заголовок"/>
    <w:basedOn w:val="1057"/>
    <w:next w:val="1079"/>
    <w:link w:val="1057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079">
    <w:name w:val="Основной текст"/>
    <w:basedOn w:val="1057"/>
    <w:next w:val="1079"/>
    <w:link w:val="1057"/>
    <w:semiHidden/>
    <w:rPr>
      <w:sz w:val="28"/>
    </w:rPr>
  </w:style>
  <w:style w:type="paragraph" w:styleId="1080">
    <w:name w:val="Список"/>
    <w:basedOn w:val="1079"/>
    <w:next w:val="1080"/>
    <w:link w:val="1057"/>
    <w:semiHidden/>
    <w:rPr>
      <w:rFonts w:ascii="Arial" w:hAnsi="Arial" w:cs="Tahoma"/>
    </w:rPr>
  </w:style>
  <w:style w:type="paragraph" w:styleId="1081">
    <w:name w:val="Название6"/>
    <w:basedOn w:val="1057"/>
    <w:next w:val="1081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2">
    <w:name w:val="Указатель6"/>
    <w:basedOn w:val="1057"/>
    <w:next w:val="1082"/>
    <w:link w:val="1057"/>
    <w:pPr>
      <w:suppressLineNumbers/>
    </w:pPr>
    <w:rPr>
      <w:rFonts w:ascii="Arial" w:hAnsi="Arial" w:cs="Tahoma"/>
    </w:rPr>
  </w:style>
  <w:style w:type="paragraph" w:styleId="1083">
    <w:name w:val="Название5"/>
    <w:basedOn w:val="1057"/>
    <w:next w:val="1083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4">
    <w:name w:val="Указатель5"/>
    <w:basedOn w:val="1057"/>
    <w:next w:val="1084"/>
    <w:link w:val="1057"/>
    <w:pPr>
      <w:suppressLineNumbers/>
    </w:pPr>
    <w:rPr>
      <w:rFonts w:ascii="Arial" w:hAnsi="Arial" w:cs="Tahoma"/>
    </w:rPr>
  </w:style>
  <w:style w:type="paragraph" w:styleId="1085">
    <w:name w:val="Название4"/>
    <w:basedOn w:val="1057"/>
    <w:next w:val="1085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6">
    <w:name w:val="Указатель4"/>
    <w:basedOn w:val="1057"/>
    <w:next w:val="1086"/>
    <w:link w:val="1057"/>
    <w:pPr>
      <w:suppressLineNumbers/>
    </w:pPr>
    <w:rPr>
      <w:rFonts w:ascii="Arial" w:hAnsi="Arial" w:cs="Tahoma"/>
    </w:rPr>
  </w:style>
  <w:style w:type="paragraph" w:styleId="1087">
    <w:name w:val="Название3"/>
    <w:basedOn w:val="1057"/>
    <w:next w:val="1087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8">
    <w:name w:val="Указатель3"/>
    <w:basedOn w:val="1057"/>
    <w:next w:val="1088"/>
    <w:link w:val="1057"/>
    <w:pPr>
      <w:suppressLineNumbers/>
    </w:pPr>
    <w:rPr>
      <w:rFonts w:ascii="Arial" w:hAnsi="Arial" w:cs="Tahoma"/>
    </w:rPr>
  </w:style>
  <w:style w:type="paragraph" w:styleId="1089">
    <w:name w:val="Название2"/>
    <w:basedOn w:val="1057"/>
    <w:next w:val="1089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90">
    <w:name w:val="Указатель2"/>
    <w:basedOn w:val="1057"/>
    <w:next w:val="1090"/>
    <w:link w:val="1057"/>
    <w:pPr>
      <w:suppressLineNumbers/>
    </w:pPr>
    <w:rPr>
      <w:rFonts w:ascii="Arial" w:hAnsi="Arial" w:cs="Tahoma"/>
    </w:rPr>
  </w:style>
  <w:style w:type="paragraph" w:styleId="1091">
    <w:name w:val="Название1"/>
    <w:basedOn w:val="1057"/>
    <w:next w:val="1091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92">
    <w:name w:val="Указатель1"/>
    <w:basedOn w:val="1057"/>
    <w:next w:val="1092"/>
    <w:link w:val="1057"/>
    <w:pPr>
      <w:suppressLineNumbers/>
    </w:pPr>
    <w:rPr>
      <w:rFonts w:ascii="Arial" w:hAnsi="Arial" w:cs="Tahoma"/>
    </w:rPr>
  </w:style>
  <w:style w:type="paragraph" w:styleId="1093">
    <w:name w:val="Верхний колонтитул"/>
    <w:basedOn w:val="1057"/>
    <w:next w:val="1093"/>
    <w:link w:val="1100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94">
    <w:name w:val="Нижний колонтитул"/>
    <w:basedOn w:val="1057"/>
    <w:next w:val="1094"/>
    <w:link w:val="1101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95">
    <w:name w:val="Текст выноски"/>
    <w:basedOn w:val="1057"/>
    <w:next w:val="1095"/>
    <w:link w:val="1057"/>
    <w:rPr>
      <w:rFonts w:ascii="Tahoma" w:hAnsi="Tahoma" w:cs="Tahoma"/>
      <w:sz w:val="16"/>
      <w:szCs w:val="16"/>
    </w:rPr>
  </w:style>
  <w:style w:type="paragraph" w:styleId="1096">
    <w:name w:val="Содержимое таблицы"/>
    <w:basedOn w:val="1057"/>
    <w:next w:val="1096"/>
    <w:link w:val="1057"/>
    <w:pPr>
      <w:suppressLineNumbers/>
    </w:pPr>
  </w:style>
  <w:style w:type="paragraph" w:styleId="1097">
    <w:name w:val="Заголовок таблицы"/>
    <w:basedOn w:val="1096"/>
    <w:next w:val="1097"/>
    <w:link w:val="1057"/>
    <w:pPr>
      <w:jc w:val="center"/>
      <w:suppressLineNumbers/>
    </w:pPr>
    <w:rPr>
      <w:b/>
      <w:bCs/>
    </w:rPr>
  </w:style>
  <w:style w:type="paragraph" w:styleId="1098">
    <w:name w:val="Содержимое врезки"/>
    <w:basedOn w:val="1079"/>
    <w:next w:val="1098"/>
    <w:link w:val="1057"/>
  </w:style>
  <w:style w:type="table" w:styleId="1099">
    <w:name w:val="Сетка таблицы"/>
    <w:basedOn w:val="1063"/>
    <w:next w:val="1099"/>
    <w:link w:val="1057"/>
    <w:tblPr/>
  </w:style>
  <w:style w:type="character" w:styleId="1100">
    <w:name w:val="Верхний колонтитул Знак"/>
    <w:next w:val="1100"/>
    <w:link w:val="1093"/>
    <w:rPr>
      <w:lang w:eastAsia="ar-SA"/>
    </w:rPr>
  </w:style>
  <w:style w:type="character" w:styleId="1101">
    <w:name w:val="Нижний колонтитул Знак"/>
    <w:next w:val="1101"/>
    <w:link w:val="1094"/>
    <w:rPr>
      <w:lang w:eastAsia="ar-SA"/>
    </w:rPr>
  </w:style>
  <w:style w:type="character" w:styleId="1102">
    <w:name w:val="Номер страницы"/>
    <w:basedOn w:val="1062"/>
    <w:next w:val="1102"/>
    <w:link w:val="1057"/>
  </w:style>
  <w:style w:type="character" w:styleId="1103">
    <w:name w:val="Основной текст + 16,5 pt2,Курсив1,Основной текст + 10"/>
    <w:next w:val="1103"/>
    <w:link w:val="1057"/>
    <w:rPr>
      <w:rFonts w:ascii="Times New Roman" w:hAnsi="Times New Roman" w:cs="Times New Roman"/>
      <w:i/>
      <w:iCs/>
      <w:sz w:val="33"/>
      <w:szCs w:val="33"/>
      <w:u w:val="single"/>
      <w:lang w:bidi="ar-SA"/>
    </w:rPr>
  </w:style>
  <w:style w:type="character" w:styleId="1104">
    <w:name w:val="Основной текст (3)_"/>
    <w:next w:val="1104"/>
    <w:link w:val="1105"/>
    <w:rPr>
      <w:sz w:val="22"/>
      <w:szCs w:val="22"/>
      <w:shd w:val="clear" w:color="auto" w:fill="ffffff"/>
    </w:rPr>
  </w:style>
  <w:style w:type="paragraph" w:styleId="1105">
    <w:name w:val="Основной текст (3)"/>
    <w:basedOn w:val="1057"/>
    <w:next w:val="1105"/>
    <w:link w:val="1104"/>
    <w:pPr>
      <w:spacing w:before="960" w:after="960" w:line="27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paragraph" w:styleId="1106">
    <w:name w:val="Без интервала"/>
    <w:next w:val="1106"/>
    <w:link w:val="105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107">
    <w:name w:val="Font Style13"/>
    <w:next w:val="1107"/>
    <w:link w:val="1057"/>
    <w:rPr>
      <w:rFonts w:ascii="Times New Roman" w:hAnsi="Times New Roman" w:cs="Times New Roman"/>
      <w:sz w:val="26"/>
      <w:szCs w:val="26"/>
    </w:rPr>
  </w:style>
  <w:style w:type="paragraph" w:styleId="1108">
    <w:name w:val="Обычный (веб)"/>
    <w:basedOn w:val="1057"/>
    <w:next w:val="1108"/>
    <w:link w:val="1057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9">
    <w:name w:val="apple-converted-space"/>
    <w:next w:val="1109"/>
    <w:link w:val="1057"/>
  </w:style>
  <w:style w:type="character" w:styleId="1110">
    <w:name w:val="Font Style18"/>
    <w:next w:val="1110"/>
    <w:link w:val="1057"/>
    <w:uiPriority w:val="99"/>
    <w:rPr>
      <w:rFonts w:ascii="Times New Roman" w:hAnsi="Times New Roman" w:cs="Times New Roman"/>
      <w:sz w:val="26"/>
      <w:szCs w:val="26"/>
    </w:rPr>
  </w:style>
  <w:style w:type="paragraph" w:styleId="1111">
    <w:name w:val="Основной текст с отступом"/>
    <w:basedOn w:val="1057"/>
    <w:next w:val="1111"/>
    <w:link w:val="1112"/>
    <w:uiPriority w:val="99"/>
    <w:unhideWhenUsed/>
    <w:pPr>
      <w:ind w:firstLine="709"/>
      <w:jc w:val="both"/>
    </w:pPr>
    <w:rPr>
      <w:color w:val="000000"/>
      <w:sz w:val="28"/>
      <w:szCs w:val="28"/>
      <w:lang w:val="en-US"/>
    </w:rPr>
  </w:style>
  <w:style w:type="character" w:styleId="1112">
    <w:name w:val="Основной текст с отступом Знак"/>
    <w:next w:val="1112"/>
    <w:link w:val="1111"/>
    <w:uiPriority w:val="99"/>
    <w:rPr>
      <w:color w:val="000000"/>
      <w:sz w:val="28"/>
      <w:szCs w:val="28"/>
      <w:lang w:eastAsia="ar-SA"/>
    </w:rPr>
  </w:style>
  <w:style w:type="paragraph" w:styleId="1113">
    <w:name w:val="ConsPlusNormal"/>
    <w:next w:val="1113"/>
    <w:link w:val="111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114">
    <w:name w:val="ConsPlusNormal Знак"/>
    <w:next w:val="1114"/>
    <w:link w:val="1113"/>
    <w:rPr>
      <w:rFonts w:ascii="Arial" w:hAnsi="Arial" w:cs="Arial"/>
      <w:lang w:val="ru-RU" w:eastAsia="ru-RU" w:bidi="ar-SA"/>
    </w:rPr>
  </w:style>
  <w:style w:type="paragraph" w:styleId="1115">
    <w:name w:val="Основной текст с отступом 2"/>
    <w:basedOn w:val="1057"/>
    <w:next w:val="1115"/>
    <w:link w:val="1116"/>
    <w:uiPriority w:val="99"/>
    <w:unhideWhenUsed/>
    <w:pPr>
      <w:ind w:firstLine="709"/>
      <w:jc w:val="both"/>
    </w:pPr>
    <w:rPr>
      <w:color w:val="000000"/>
      <w:sz w:val="26"/>
      <w:szCs w:val="26"/>
      <w:lang w:val="en-US"/>
    </w:rPr>
  </w:style>
  <w:style w:type="character" w:styleId="1116">
    <w:name w:val="Основной текст с отступом 2 Знак"/>
    <w:next w:val="1116"/>
    <w:link w:val="1115"/>
    <w:uiPriority w:val="99"/>
    <w:rPr>
      <w:color w:val="000000"/>
      <w:sz w:val="26"/>
      <w:szCs w:val="26"/>
      <w:lang w:eastAsia="ar-SA"/>
    </w:rPr>
  </w:style>
  <w:style w:type="character" w:styleId="1117">
    <w:name w:val="Знак примечания"/>
    <w:next w:val="1117"/>
    <w:link w:val="1057"/>
    <w:uiPriority w:val="99"/>
    <w:semiHidden/>
    <w:unhideWhenUsed/>
    <w:rPr>
      <w:sz w:val="16"/>
      <w:szCs w:val="16"/>
    </w:rPr>
  </w:style>
  <w:style w:type="paragraph" w:styleId="1118">
    <w:name w:val="Текст примечания"/>
    <w:basedOn w:val="1057"/>
    <w:next w:val="1118"/>
    <w:link w:val="1119"/>
    <w:uiPriority w:val="99"/>
    <w:semiHidden/>
    <w:unhideWhenUsed/>
  </w:style>
  <w:style w:type="character" w:styleId="1119">
    <w:name w:val="Текст примечания Знак"/>
    <w:next w:val="1119"/>
    <w:link w:val="1118"/>
    <w:uiPriority w:val="99"/>
    <w:semiHidden/>
    <w:rPr>
      <w:lang w:eastAsia="ar-SA"/>
    </w:rPr>
  </w:style>
  <w:style w:type="paragraph" w:styleId="1120">
    <w:name w:val="Тема примечания"/>
    <w:basedOn w:val="1118"/>
    <w:next w:val="1118"/>
    <w:link w:val="1121"/>
    <w:uiPriority w:val="99"/>
    <w:semiHidden/>
    <w:unhideWhenUsed/>
    <w:rPr>
      <w:b/>
      <w:bCs/>
    </w:rPr>
  </w:style>
  <w:style w:type="character" w:styleId="1121">
    <w:name w:val="Тема примечания Знак"/>
    <w:next w:val="1121"/>
    <w:link w:val="1120"/>
    <w:uiPriority w:val="99"/>
    <w:semiHidden/>
    <w:rPr>
      <w:b/>
      <w:bCs/>
      <w:lang w:eastAsia="ar-SA"/>
    </w:rPr>
  </w:style>
  <w:style w:type="character" w:styleId="1122">
    <w:name w:val="Строгий"/>
    <w:next w:val="1122"/>
    <w:link w:val="1057"/>
    <w:uiPriority w:val="22"/>
    <w:qFormat/>
    <w:rPr>
      <w:b/>
      <w:bCs/>
    </w:rPr>
  </w:style>
  <w:style w:type="character" w:styleId="1123">
    <w:name w:val="Заголовок 2 Знак"/>
    <w:next w:val="1123"/>
    <w:link w:val="1059"/>
    <w:uiPriority w:val="9"/>
    <w:rPr>
      <w:b/>
      <w:bCs/>
      <w:sz w:val="36"/>
      <w:szCs w:val="36"/>
    </w:rPr>
  </w:style>
  <w:style w:type="paragraph" w:styleId="1124">
    <w:name w:val="paragraph"/>
    <w:basedOn w:val="1057"/>
    <w:next w:val="1124"/>
    <w:link w:val="105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5">
    <w:name w:val="Заголовок 1 Знак"/>
    <w:next w:val="1125"/>
    <w:link w:val="1058"/>
    <w:uiPriority w:val="9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paragraph" w:styleId="1126">
    <w:name w:val="b-article__text"/>
    <w:basedOn w:val="1057"/>
    <w:next w:val="1126"/>
    <w:link w:val="105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7">
    <w:name w:val="Заголовок 4 Знак"/>
    <w:next w:val="1127"/>
    <w:link w:val="1061"/>
    <w:uiPriority w:val="9"/>
    <w:semiHidden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1128">
    <w:name w:val="Заголовок 3 Знак"/>
    <w:next w:val="1128"/>
    <w:link w:val="1060"/>
    <w:uiPriority w:val="9"/>
    <w:semiHidden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1129">
    <w:name w:val="Абзац списка"/>
    <w:basedOn w:val="1057"/>
    <w:next w:val="1129"/>
    <w:link w:val="1057"/>
    <w:uiPriority w:val="34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30">
    <w:name w:val="Header"/>
    <w:next w:val="1130"/>
    <w:link w:val="1057"/>
  </w:style>
  <w:style w:type="character" w:styleId="1131">
    <w:name w:val="Title"/>
    <w:next w:val="1131"/>
    <w:link w:val="1057"/>
  </w:style>
  <w:style w:type="character" w:styleId="1132">
    <w:name w:val="dashed"/>
    <w:next w:val="1132"/>
    <w:link w:val="1057"/>
  </w:style>
  <w:style w:type="character" w:styleId="1133">
    <w:name w:val="buttons"/>
    <w:next w:val="1133"/>
    <w:link w:val="1057"/>
  </w:style>
  <w:style w:type="paragraph" w:styleId="1134">
    <w:name w:val="float"/>
    <w:basedOn w:val="1057"/>
    <w:next w:val="1134"/>
    <w:link w:val="105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35">
    <w:name w:val="Caption"/>
    <w:next w:val="1135"/>
    <w:link w:val="1057"/>
  </w:style>
  <w:style w:type="character" w:styleId="1136">
    <w:name w:val="time"/>
    <w:next w:val="1136"/>
    <w:link w:val="1057"/>
  </w:style>
  <w:style w:type="character" w:styleId="1137">
    <w:name w:val="i18n"/>
    <w:next w:val="1137"/>
    <w:link w:val="1057"/>
  </w:style>
  <w:style w:type="paragraph" w:styleId="1138">
    <w:name w:val="z-Начало формы"/>
    <w:basedOn w:val="1057"/>
    <w:next w:val="1057"/>
    <w:link w:val="1139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39">
    <w:name w:val="z-Начало формы Знак"/>
    <w:next w:val="1139"/>
    <w:link w:val="1138"/>
    <w:uiPriority w:val="99"/>
    <w:semiHidden/>
    <w:rPr>
      <w:rFonts w:ascii="Arial" w:hAnsi="Arial" w:cs="Arial"/>
      <w:vanish/>
      <w:sz w:val="16"/>
      <w:szCs w:val="16"/>
    </w:rPr>
  </w:style>
  <w:style w:type="paragraph" w:styleId="1140">
    <w:name w:val="z-Конец формы"/>
    <w:basedOn w:val="1057"/>
    <w:next w:val="1057"/>
    <w:link w:val="1141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41">
    <w:name w:val="z-Конец формы Знак"/>
    <w:next w:val="1141"/>
    <w:link w:val="1140"/>
    <w:uiPriority w:val="99"/>
    <w:semiHidden/>
    <w:rPr>
      <w:rFonts w:ascii="Arial" w:hAnsi="Arial" w:cs="Arial"/>
      <w:vanish/>
      <w:sz w:val="16"/>
      <w:szCs w:val="16"/>
    </w:rPr>
  </w:style>
  <w:style w:type="character" w:styleId="1142">
    <w:name w:val="message-time"/>
    <w:next w:val="1142"/>
    <w:link w:val="1057"/>
  </w:style>
  <w:style w:type="character" w:styleId="1143" w:default="1">
    <w:name w:val="Default Paragraph Font"/>
    <w:uiPriority w:val="1"/>
    <w:semiHidden/>
    <w:unhideWhenUsed/>
  </w:style>
  <w:style w:type="numbering" w:styleId="1144" w:default="1">
    <w:name w:val="No List"/>
    <w:uiPriority w:val="99"/>
    <w:semiHidden/>
    <w:unhideWhenUsed/>
  </w:style>
  <w:style w:type="table" w:styleId="11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https://minfin.gov.ru/ru/document?id_4=135331-regionalnye_garantiinye_organizatsii_udovletvoryayushchie_trebovaniyam_ustanovlennym_punktom_3_chasti_1_stati_45_federalnogo_zakona_ot_05.04.2013__44-fz_s_uchetom_dannykh_minekonomrazvitiya_rossii_predstavlennykh_10.10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 Республикаысь</dc:title>
  <dc:creator>Рустем Каримов</dc:creator>
  <cp:lastModifiedBy>miniazeva_aa</cp:lastModifiedBy>
  <cp:revision>76</cp:revision>
  <dcterms:created xsi:type="dcterms:W3CDTF">2023-12-05T08:05:00Z</dcterms:created>
  <dcterms:modified xsi:type="dcterms:W3CDTF">2025-12-19T07:02:13Z</dcterms:modified>
  <cp:version>917504</cp:version>
</cp:coreProperties>
</file>